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rPr>
      </w:pPr>
      <w:r>
        <w:rPr>
          <w:rFonts w:hint="eastAsia" w:ascii="黑体" w:hAnsi="黑体" w:eastAsia="黑体"/>
        </w:rPr>
        <w:t>附件1</w:t>
      </w:r>
      <w:bookmarkStart w:id="0" w:name="_GoBack"/>
      <w:bookmarkEnd w:id="0"/>
    </w:p>
    <w:p>
      <w:pPr>
        <w:ind w:firstLine="0" w:firstLineChars="0"/>
        <w:jc w:val="center"/>
        <w:rPr>
          <w:rFonts w:hint="eastAsia" w:ascii="方正小标宋简体" w:hAnsi="黑体" w:eastAsia="方正小标宋简体"/>
        </w:rPr>
      </w:pPr>
      <w:r>
        <w:rPr>
          <w:rFonts w:hint="eastAsia" w:ascii="方正小标宋简体" w:eastAsia="方正小标宋简体"/>
        </w:rPr>
        <w:t>射洪市医疗保障局面向全省公开选调工作人员岗位和条件要求一览表</w:t>
      </w:r>
    </w:p>
    <w:tbl>
      <w:tblPr>
        <w:tblStyle w:val="4"/>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0"/>
        <w:gridCol w:w="1060"/>
        <w:gridCol w:w="1780"/>
        <w:gridCol w:w="893"/>
        <w:gridCol w:w="1447"/>
        <w:gridCol w:w="1105"/>
        <w:gridCol w:w="1417"/>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080" w:type="dxa"/>
            <w:vMerge w:val="restart"/>
            <w:noWrap w:val="0"/>
            <w:vAlign w:val="center"/>
          </w:tcPr>
          <w:p>
            <w:pPr>
              <w:widowControl/>
              <w:spacing w:line="240" w:lineRule="auto"/>
              <w:ind w:firstLine="0" w:firstLineChars="0"/>
              <w:jc w:val="center"/>
              <w:rPr>
                <w:rFonts w:ascii="仿宋_GB2312" w:cs="宋体"/>
                <w:b/>
                <w:bCs/>
                <w:kern w:val="0"/>
                <w:sz w:val="24"/>
                <w:szCs w:val="24"/>
              </w:rPr>
            </w:pPr>
            <w:r>
              <w:rPr>
                <w:rFonts w:hint="eastAsia" w:ascii="仿宋_GB2312" w:cs="宋体"/>
                <w:b/>
                <w:bCs/>
                <w:kern w:val="0"/>
                <w:sz w:val="24"/>
                <w:szCs w:val="24"/>
              </w:rPr>
              <w:t>选调单位</w:t>
            </w:r>
          </w:p>
        </w:tc>
        <w:tc>
          <w:tcPr>
            <w:tcW w:w="1060" w:type="dxa"/>
            <w:vMerge w:val="restart"/>
            <w:noWrap w:val="0"/>
            <w:vAlign w:val="center"/>
          </w:tcPr>
          <w:p>
            <w:pPr>
              <w:widowControl/>
              <w:spacing w:line="240" w:lineRule="auto"/>
              <w:ind w:firstLine="0" w:firstLineChars="0"/>
              <w:jc w:val="center"/>
              <w:rPr>
                <w:rFonts w:ascii="仿宋_GB2312" w:cs="宋体"/>
                <w:b/>
                <w:bCs/>
                <w:kern w:val="0"/>
                <w:sz w:val="24"/>
                <w:szCs w:val="24"/>
              </w:rPr>
            </w:pPr>
            <w:r>
              <w:rPr>
                <w:rFonts w:hint="eastAsia" w:ascii="仿宋_GB2312" w:cs="宋体"/>
                <w:b/>
                <w:bCs/>
                <w:kern w:val="0"/>
                <w:sz w:val="24"/>
                <w:szCs w:val="24"/>
              </w:rPr>
              <w:t>主管</w:t>
            </w:r>
          </w:p>
          <w:p>
            <w:pPr>
              <w:widowControl/>
              <w:spacing w:line="240" w:lineRule="auto"/>
              <w:ind w:firstLine="0" w:firstLineChars="0"/>
              <w:jc w:val="center"/>
              <w:rPr>
                <w:rFonts w:ascii="仿宋_GB2312" w:cs="宋体"/>
                <w:b/>
                <w:bCs/>
                <w:kern w:val="0"/>
                <w:sz w:val="24"/>
                <w:szCs w:val="24"/>
              </w:rPr>
            </w:pPr>
            <w:r>
              <w:rPr>
                <w:rFonts w:hint="eastAsia" w:ascii="仿宋_GB2312" w:cs="宋体"/>
                <w:b/>
                <w:bCs/>
                <w:kern w:val="0"/>
                <w:sz w:val="24"/>
                <w:szCs w:val="24"/>
              </w:rPr>
              <w:t>部门</w:t>
            </w:r>
          </w:p>
        </w:tc>
        <w:tc>
          <w:tcPr>
            <w:tcW w:w="1780" w:type="dxa"/>
            <w:vMerge w:val="restart"/>
            <w:noWrap w:val="0"/>
            <w:vAlign w:val="center"/>
          </w:tcPr>
          <w:p>
            <w:pPr>
              <w:widowControl/>
              <w:spacing w:line="240" w:lineRule="auto"/>
              <w:ind w:firstLine="0" w:firstLineChars="0"/>
              <w:jc w:val="center"/>
              <w:rPr>
                <w:rFonts w:ascii="仿宋_GB2312" w:cs="宋体"/>
                <w:b/>
                <w:bCs/>
                <w:kern w:val="0"/>
                <w:sz w:val="24"/>
                <w:szCs w:val="24"/>
              </w:rPr>
            </w:pPr>
            <w:r>
              <w:rPr>
                <w:rFonts w:hint="eastAsia" w:ascii="仿宋_GB2312" w:cs="宋体"/>
                <w:b/>
                <w:bCs/>
                <w:kern w:val="0"/>
                <w:sz w:val="24"/>
                <w:szCs w:val="24"/>
              </w:rPr>
              <w:t>选调范围</w:t>
            </w:r>
          </w:p>
        </w:tc>
        <w:tc>
          <w:tcPr>
            <w:tcW w:w="893" w:type="dxa"/>
            <w:vMerge w:val="restart"/>
            <w:noWrap w:val="0"/>
            <w:vAlign w:val="center"/>
          </w:tcPr>
          <w:p>
            <w:pPr>
              <w:widowControl/>
              <w:spacing w:line="240" w:lineRule="auto"/>
              <w:ind w:firstLine="0" w:firstLineChars="0"/>
              <w:jc w:val="center"/>
              <w:rPr>
                <w:rFonts w:ascii="仿宋_GB2312" w:cs="宋体"/>
                <w:b/>
                <w:bCs/>
                <w:kern w:val="0"/>
                <w:sz w:val="24"/>
                <w:szCs w:val="24"/>
              </w:rPr>
            </w:pPr>
            <w:r>
              <w:rPr>
                <w:rFonts w:hint="eastAsia" w:ascii="仿宋_GB2312" w:cs="宋体"/>
                <w:b/>
                <w:bCs/>
                <w:kern w:val="0"/>
                <w:sz w:val="24"/>
                <w:szCs w:val="24"/>
              </w:rPr>
              <w:t>选调</w:t>
            </w:r>
          </w:p>
          <w:p>
            <w:pPr>
              <w:widowControl/>
              <w:spacing w:line="240" w:lineRule="auto"/>
              <w:ind w:firstLine="0" w:firstLineChars="0"/>
              <w:jc w:val="center"/>
              <w:rPr>
                <w:rFonts w:ascii="仿宋_GB2312" w:cs="宋体"/>
                <w:b/>
                <w:bCs/>
                <w:kern w:val="0"/>
                <w:sz w:val="24"/>
                <w:szCs w:val="24"/>
              </w:rPr>
            </w:pPr>
            <w:r>
              <w:rPr>
                <w:rFonts w:hint="eastAsia" w:ascii="仿宋_GB2312" w:cs="宋体"/>
                <w:b/>
                <w:bCs/>
                <w:kern w:val="0"/>
                <w:sz w:val="24"/>
                <w:szCs w:val="24"/>
              </w:rPr>
              <w:t>名额</w:t>
            </w:r>
          </w:p>
        </w:tc>
        <w:tc>
          <w:tcPr>
            <w:tcW w:w="7067" w:type="dxa"/>
            <w:gridSpan w:val="4"/>
            <w:noWrap w:val="0"/>
            <w:vAlign w:val="center"/>
          </w:tcPr>
          <w:p>
            <w:pPr>
              <w:widowControl/>
              <w:spacing w:line="240" w:lineRule="auto"/>
              <w:ind w:firstLine="0" w:firstLineChars="0"/>
              <w:jc w:val="center"/>
              <w:rPr>
                <w:rFonts w:ascii="仿宋_GB2312" w:cs="宋体"/>
                <w:b/>
                <w:bCs/>
                <w:kern w:val="0"/>
                <w:sz w:val="24"/>
                <w:szCs w:val="24"/>
              </w:rPr>
            </w:pPr>
            <w:r>
              <w:rPr>
                <w:rFonts w:hint="eastAsia" w:ascii="仿宋_GB2312" w:cs="宋体"/>
                <w:b/>
                <w:bCs/>
                <w:kern w:val="0"/>
                <w:sz w:val="24"/>
                <w:szCs w:val="24"/>
              </w:rPr>
              <w:t>选调条件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80" w:type="dxa"/>
            <w:vMerge w:val="continue"/>
            <w:noWrap w:val="0"/>
            <w:vAlign w:val="center"/>
          </w:tcPr>
          <w:p>
            <w:pPr>
              <w:widowControl/>
              <w:spacing w:line="240" w:lineRule="auto"/>
              <w:ind w:firstLine="0" w:firstLineChars="0"/>
              <w:jc w:val="left"/>
              <w:rPr>
                <w:rFonts w:ascii="仿宋_GB2312" w:cs="宋体"/>
                <w:b/>
                <w:bCs/>
                <w:kern w:val="0"/>
                <w:sz w:val="24"/>
                <w:szCs w:val="24"/>
              </w:rPr>
            </w:pPr>
          </w:p>
        </w:tc>
        <w:tc>
          <w:tcPr>
            <w:tcW w:w="1060" w:type="dxa"/>
            <w:vMerge w:val="continue"/>
            <w:noWrap w:val="0"/>
            <w:vAlign w:val="center"/>
          </w:tcPr>
          <w:p>
            <w:pPr>
              <w:widowControl/>
              <w:spacing w:line="240" w:lineRule="auto"/>
              <w:ind w:firstLine="0" w:firstLineChars="0"/>
              <w:jc w:val="left"/>
              <w:rPr>
                <w:rFonts w:ascii="仿宋_GB2312" w:cs="宋体"/>
                <w:b/>
                <w:bCs/>
                <w:kern w:val="0"/>
                <w:sz w:val="24"/>
                <w:szCs w:val="24"/>
              </w:rPr>
            </w:pPr>
          </w:p>
        </w:tc>
        <w:tc>
          <w:tcPr>
            <w:tcW w:w="1780" w:type="dxa"/>
            <w:vMerge w:val="continue"/>
            <w:noWrap w:val="0"/>
            <w:vAlign w:val="center"/>
          </w:tcPr>
          <w:p>
            <w:pPr>
              <w:widowControl/>
              <w:spacing w:line="240" w:lineRule="auto"/>
              <w:ind w:firstLine="0" w:firstLineChars="0"/>
              <w:jc w:val="left"/>
              <w:rPr>
                <w:rFonts w:ascii="仿宋_GB2312" w:cs="宋体"/>
                <w:b/>
                <w:bCs/>
                <w:kern w:val="0"/>
                <w:sz w:val="24"/>
                <w:szCs w:val="24"/>
              </w:rPr>
            </w:pPr>
          </w:p>
        </w:tc>
        <w:tc>
          <w:tcPr>
            <w:tcW w:w="893" w:type="dxa"/>
            <w:vMerge w:val="continue"/>
            <w:noWrap w:val="0"/>
            <w:vAlign w:val="center"/>
          </w:tcPr>
          <w:p>
            <w:pPr>
              <w:widowControl/>
              <w:spacing w:line="240" w:lineRule="auto"/>
              <w:ind w:firstLine="0" w:firstLineChars="0"/>
              <w:jc w:val="left"/>
              <w:rPr>
                <w:rFonts w:ascii="仿宋_GB2312" w:cs="宋体"/>
                <w:b/>
                <w:bCs/>
                <w:kern w:val="0"/>
                <w:sz w:val="24"/>
                <w:szCs w:val="24"/>
              </w:rPr>
            </w:pPr>
          </w:p>
        </w:tc>
        <w:tc>
          <w:tcPr>
            <w:tcW w:w="1447" w:type="dxa"/>
            <w:noWrap w:val="0"/>
            <w:vAlign w:val="center"/>
          </w:tcPr>
          <w:p>
            <w:pPr>
              <w:widowControl/>
              <w:spacing w:line="240" w:lineRule="auto"/>
              <w:ind w:firstLine="0" w:firstLineChars="0"/>
              <w:jc w:val="center"/>
              <w:rPr>
                <w:rFonts w:ascii="仿宋_GB2312" w:cs="宋体"/>
                <w:b/>
                <w:bCs/>
                <w:kern w:val="0"/>
                <w:sz w:val="24"/>
                <w:szCs w:val="24"/>
              </w:rPr>
            </w:pPr>
            <w:r>
              <w:rPr>
                <w:rFonts w:hint="eastAsia" w:ascii="仿宋_GB2312" w:cs="宋体"/>
                <w:b/>
                <w:bCs/>
                <w:kern w:val="0"/>
                <w:sz w:val="24"/>
                <w:szCs w:val="24"/>
              </w:rPr>
              <w:t>年龄</w:t>
            </w:r>
          </w:p>
        </w:tc>
        <w:tc>
          <w:tcPr>
            <w:tcW w:w="1105" w:type="dxa"/>
            <w:noWrap w:val="0"/>
            <w:vAlign w:val="center"/>
          </w:tcPr>
          <w:p>
            <w:pPr>
              <w:widowControl/>
              <w:spacing w:line="240" w:lineRule="auto"/>
              <w:ind w:firstLine="0" w:firstLineChars="0"/>
              <w:jc w:val="center"/>
              <w:rPr>
                <w:rFonts w:ascii="仿宋_GB2312" w:cs="宋体"/>
                <w:b/>
                <w:bCs/>
                <w:kern w:val="0"/>
                <w:sz w:val="24"/>
                <w:szCs w:val="24"/>
              </w:rPr>
            </w:pPr>
            <w:r>
              <w:rPr>
                <w:rFonts w:hint="eastAsia" w:ascii="仿宋_GB2312" w:cs="宋体"/>
                <w:b/>
                <w:bCs/>
                <w:kern w:val="0"/>
                <w:sz w:val="24"/>
                <w:szCs w:val="24"/>
              </w:rPr>
              <w:t>身份</w:t>
            </w:r>
          </w:p>
          <w:p>
            <w:pPr>
              <w:widowControl/>
              <w:spacing w:line="240" w:lineRule="auto"/>
              <w:ind w:firstLine="0" w:firstLineChars="0"/>
              <w:jc w:val="center"/>
              <w:rPr>
                <w:rFonts w:ascii="仿宋_GB2312" w:cs="宋体"/>
                <w:b/>
                <w:bCs/>
                <w:kern w:val="0"/>
                <w:sz w:val="24"/>
                <w:szCs w:val="24"/>
              </w:rPr>
            </w:pPr>
            <w:r>
              <w:rPr>
                <w:rFonts w:hint="eastAsia" w:ascii="仿宋_GB2312" w:cs="宋体"/>
                <w:b/>
                <w:bCs/>
                <w:kern w:val="0"/>
                <w:sz w:val="24"/>
                <w:szCs w:val="24"/>
              </w:rPr>
              <w:t>性质</w:t>
            </w:r>
          </w:p>
        </w:tc>
        <w:tc>
          <w:tcPr>
            <w:tcW w:w="1417" w:type="dxa"/>
            <w:noWrap w:val="0"/>
            <w:vAlign w:val="center"/>
          </w:tcPr>
          <w:p>
            <w:pPr>
              <w:widowControl/>
              <w:spacing w:line="240" w:lineRule="auto"/>
              <w:ind w:firstLine="0" w:firstLineChars="0"/>
              <w:jc w:val="center"/>
              <w:rPr>
                <w:rFonts w:ascii="仿宋_GB2312" w:cs="宋体"/>
                <w:b/>
                <w:bCs/>
                <w:kern w:val="0"/>
                <w:sz w:val="24"/>
                <w:szCs w:val="24"/>
              </w:rPr>
            </w:pPr>
            <w:r>
              <w:rPr>
                <w:rFonts w:hint="eastAsia" w:ascii="仿宋_GB2312" w:cs="宋体"/>
                <w:b/>
                <w:bCs/>
                <w:kern w:val="0"/>
                <w:sz w:val="24"/>
                <w:szCs w:val="24"/>
              </w:rPr>
              <w:t>学历</w:t>
            </w:r>
          </w:p>
        </w:tc>
        <w:tc>
          <w:tcPr>
            <w:tcW w:w="3098" w:type="dxa"/>
            <w:noWrap w:val="0"/>
            <w:vAlign w:val="center"/>
          </w:tcPr>
          <w:p>
            <w:pPr>
              <w:widowControl/>
              <w:spacing w:line="240" w:lineRule="auto"/>
              <w:ind w:firstLine="0" w:firstLineChars="0"/>
              <w:jc w:val="center"/>
              <w:rPr>
                <w:rFonts w:ascii="仿宋_GB2312" w:cs="宋体"/>
                <w:b/>
                <w:bCs/>
                <w:kern w:val="0"/>
                <w:sz w:val="21"/>
                <w:szCs w:val="21"/>
              </w:rPr>
            </w:pPr>
            <w:r>
              <w:rPr>
                <w:rFonts w:hint="eastAsia" w:ascii="仿宋_GB2312" w:cs="宋体"/>
                <w:b/>
                <w:bCs/>
                <w:kern w:val="0"/>
                <w:sz w:val="21"/>
                <w:szCs w:val="21"/>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trPr>
        <w:tc>
          <w:tcPr>
            <w:tcW w:w="3080" w:type="dxa"/>
            <w:noWrap w:val="0"/>
            <w:vAlign w:val="center"/>
          </w:tcPr>
          <w:p>
            <w:pPr>
              <w:widowControl/>
              <w:spacing w:line="240" w:lineRule="auto"/>
              <w:ind w:firstLine="0" w:firstLineChars="0"/>
              <w:jc w:val="center"/>
              <w:rPr>
                <w:rFonts w:ascii="仿宋_GB2312" w:cs="宋体"/>
                <w:kern w:val="0"/>
                <w:sz w:val="24"/>
                <w:szCs w:val="24"/>
              </w:rPr>
            </w:pPr>
            <w:r>
              <w:rPr>
                <w:rFonts w:hint="eastAsia" w:ascii="仿宋_GB2312" w:cs="宋体"/>
                <w:kern w:val="0"/>
                <w:sz w:val="24"/>
                <w:szCs w:val="24"/>
              </w:rPr>
              <w:t>射洪市医疗保障中心</w:t>
            </w:r>
          </w:p>
        </w:tc>
        <w:tc>
          <w:tcPr>
            <w:tcW w:w="1060" w:type="dxa"/>
            <w:noWrap w:val="0"/>
            <w:vAlign w:val="center"/>
          </w:tcPr>
          <w:p>
            <w:pPr>
              <w:widowControl/>
              <w:spacing w:line="240" w:lineRule="auto"/>
              <w:ind w:firstLine="0" w:firstLineChars="0"/>
              <w:jc w:val="center"/>
              <w:rPr>
                <w:rFonts w:ascii="仿宋_GB2312" w:cs="宋体"/>
                <w:kern w:val="0"/>
                <w:sz w:val="24"/>
                <w:szCs w:val="24"/>
              </w:rPr>
            </w:pPr>
            <w:r>
              <w:rPr>
                <w:rFonts w:hint="eastAsia" w:ascii="仿宋_GB2312" w:cs="宋体"/>
                <w:kern w:val="0"/>
                <w:sz w:val="24"/>
                <w:szCs w:val="24"/>
              </w:rPr>
              <w:t>射洪市医疗保障局</w:t>
            </w:r>
          </w:p>
        </w:tc>
        <w:tc>
          <w:tcPr>
            <w:tcW w:w="1780" w:type="dxa"/>
            <w:noWrap w:val="0"/>
            <w:vAlign w:val="center"/>
          </w:tcPr>
          <w:p>
            <w:pPr>
              <w:widowControl/>
              <w:spacing w:line="240" w:lineRule="auto"/>
              <w:ind w:firstLine="0" w:firstLineChars="0"/>
              <w:jc w:val="center"/>
              <w:rPr>
                <w:rFonts w:hint="eastAsia" w:ascii="仿宋_GB2312" w:cs="宋体"/>
                <w:kern w:val="0"/>
                <w:sz w:val="24"/>
                <w:szCs w:val="24"/>
              </w:rPr>
            </w:pPr>
            <w:r>
              <w:rPr>
                <w:rFonts w:hint="eastAsia" w:ascii="仿宋" w:hAnsi="仿宋" w:eastAsia="仿宋" w:cs="仿宋"/>
                <w:sz w:val="24"/>
                <w:szCs w:val="24"/>
              </w:rPr>
              <w:t>全省范围内符合条件的在编在职通过考录的参照公务员法管理机关（单位）工作人员或具有公务员身份自愿调入后转登记为参照公务员法管理的干部</w:t>
            </w:r>
            <w:r>
              <w:rPr>
                <w:rFonts w:hint="eastAsia" w:ascii="仿宋" w:hAnsi="仿宋" w:eastAsia="仿宋" w:cs="仿宋"/>
                <w:kern w:val="0"/>
                <w:sz w:val="24"/>
                <w:szCs w:val="24"/>
              </w:rPr>
              <w:t>。</w:t>
            </w:r>
          </w:p>
          <w:p>
            <w:pPr>
              <w:widowControl/>
              <w:spacing w:line="240" w:lineRule="auto"/>
              <w:ind w:firstLine="0" w:firstLineChars="0"/>
              <w:jc w:val="center"/>
              <w:rPr>
                <w:rFonts w:ascii="仿宋_GB2312" w:cs="宋体"/>
                <w:kern w:val="0"/>
                <w:sz w:val="24"/>
                <w:szCs w:val="24"/>
              </w:rPr>
            </w:pPr>
          </w:p>
        </w:tc>
        <w:tc>
          <w:tcPr>
            <w:tcW w:w="893" w:type="dxa"/>
            <w:noWrap w:val="0"/>
            <w:vAlign w:val="center"/>
          </w:tcPr>
          <w:p>
            <w:pPr>
              <w:widowControl/>
              <w:spacing w:line="240" w:lineRule="auto"/>
              <w:ind w:firstLine="0" w:firstLineChars="0"/>
              <w:jc w:val="center"/>
              <w:rPr>
                <w:rFonts w:ascii="仿宋_GB2312" w:cs="宋体"/>
                <w:kern w:val="0"/>
                <w:sz w:val="24"/>
                <w:szCs w:val="24"/>
              </w:rPr>
            </w:pPr>
            <w:r>
              <w:rPr>
                <w:rFonts w:hint="eastAsia" w:ascii="仿宋_GB2312" w:cs="宋体"/>
                <w:kern w:val="0"/>
                <w:sz w:val="24"/>
                <w:szCs w:val="24"/>
              </w:rPr>
              <w:t>4</w:t>
            </w:r>
          </w:p>
        </w:tc>
        <w:tc>
          <w:tcPr>
            <w:tcW w:w="1447" w:type="dxa"/>
            <w:noWrap w:val="0"/>
            <w:vAlign w:val="center"/>
          </w:tcPr>
          <w:p>
            <w:pPr>
              <w:widowControl/>
              <w:spacing w:line="240" w:lineRule="auto"/>
              <w:ind w:firstLine="0" w:firstLineChars="0"/>
              <w:jc w:val="center"/>
              <w:rPr>
                <w:rFonts w:ascii="仿宋_GB2312" w:cs="宋体"/>
                <w:color w:val="0C0C0C"/>
                <w:kern w:val="0"/>
                <w:sz w:val="24"/>
                <w:szCs w:val="24"/>
              </w:rPr>
            </w:pPr>
            <w:r>
              <w:rPr>
                <w:rFonts w:hint="eastAsia"/>
                <w:color w:val="0C0C0C"/>
                <w:sz w:val="24"/>
                <w:szCs w:val="24"/>
              </w:rPr>
              <w:t>年龄在35</w:t>
            </w:r>
            <w:r>
              <w:rPr>
                <w:color w:val="0C0C0C"/>
                <w:sz w:val="24"/>
                <w:szCs w:val="24"/>
              </w:rPr>
              <w:t>周岁以下（19</w:t>
            </w:r>
            <w:r>
              <w:rPr>
                <w:rFonts w:hint="eastAsia"/>
                <w:color w:val="0C0C0C"/>
                <w:sz w:val="24"/>
                <w:szCs w:val="24"/>
              </w:rPr>
              <w:t>8</w:t>
            </w:r>
            <w:r>
              <w:rPr>
                <w:color w:val="0C0C0C"/>
                <w:sz w:val="24"/>
                <w:szCs w:val="24"/>
              </w:rPr>
              <w:t>3年</w:t>
            </w:r>
            <w:r>
              <w:rPr>
                <w:rFonts w:hint="eastAsia"/>
                <w:color w:val="0C0C0C"/>
                <w:sz w:val="24"/>
                <w:szCs w:val="24"/>
              </w:rPr>
              <w:t>12</w:t>
            </w:r>
            <w:r>
              <w:rPr>
                <w:color w:val="0C0C0C"/>
                <w:sz w:val="24"/>
                <w:szCs w:val="24"/>
              </w:rPr>
              <w:t>月</w:t>
            </w:r>
            <w:r>
              <w:rPr>
                <w:rFonts w:hint="eastAsia"/>
                <w:color w:val="0C0C0C"/>
                <w:sz w:val="24"/>
                <w:szCs w:val="24"/>
              </w:rPr>
              <w:t>31</w:t>
            </w:r>
            <w:r>
              <w:rPr>
                <w:color w:val="0C0C0C"/>
                <w:sz w:val="24"/>
                <w:szCs w:val="24"/>
              </w:rPr>
              <w:t>日及以后出生）</w:t>
            </w:r>
            <w:r>
              <w:rPr>
                <w:rFonts w:hint="eastAsia"/>
                <w:color w:val="0C0C0C"/>
                <w:sz w:val="24"/>
                <w:szCs w:val="24"/>
              </w:rPr>
              <w:t>。</w:t>
            </w:r>
            <w:r>
              <w:rPr>
                <w:color w:val="0C0C0C"/>
                <w:sz w:val="24"/>
                <w:szCs w:val="24"/>
              </w:rPr>
              <w:t>特别优秀的可适当放宽</w:t>
            </w:r>
            <w:r>
              <w:rPr>
                <w:rFonts w:hint="eastAsia"/>
                <w:color w:val="0C0C0C"/>
                <w:sz w:val="24"/>
                <w:szCs w:val="24"/>
              </w:rPr>
              <w:t>至37周岁</w:t>
            </w:r>
            <w:r>
              <w:rPr>
                <w:color w:val="0C0C0C"/>
                <w:sz w:val="24"/>
                <w:szCs w:val="24"/>
              </w:rPr>
              <w:t>(1981年</w:t>
            </w:r>
            <w:r>
              <w:rPr>
                <w:rFonts w:hint="eastAsia"/>
                <w:color w:val="0C0C0C"/>
                <w:sz w:val="24"/>
                <w:szCs w:val="24"/>
              </w:rPr>
              <w:t>12</w:t>
            </w:r>
            <w:r>
              <w:rPr>
                <w:color w:val="0C0C0C"/>
                <w:sz w:val="24"/>
                <w:szCs w:val="24"/>
              </w:rPr>
              <w:t>月</w:t>
            </w:r>
            <w:r>
              <w:rPr>
                <w:rFonts w:hint="eastAsia"/>
                <w:color w:val="0C0C0C"/>
                <w:sz w:val="24"/>
                <w:szCs w:val="24"/>
              </w:rPr>
              <w:t>31</w:t>
            </w:r>
            <w:r>
              <w:rPr>
                <w:color w:val="0C0C0C"/>
                <w:sz w:val="24"/>
                <w:szCs w:val="24"/>
              </w:rPr>
              <w:t>日</w:t>
            </w:r>
            <w:r>
              <w:rPr>
                <w:rFonts w:hint="eastAsia"/>
                <w:color w:val="0C0C0C"/>
                <w:sz w:val="24"/>
                <w:szCs w:val="24"/>
              </w:rPr>
              <w:t>及</w:t>
            </w:r>
            <w:r>
              <w:rPr>
                <w:color w:val="0C0C0C"/>
                <w:sz w:val="24"/>
                <w:szCs w:val="24"/>
              </w:rPr>
              <w:t>以后出生)。</w:t>
            </w:r>
          </w:p>
        </w:tc>
        <w:tc>
          <w:tcPr>
            <w:tcW w:w="1105" w:type="dxa"/>
            <w:noWrap w:val="0"/>
            <w:vAlign w:val="center"/>
          </w:tcPr>
          <w:p>
            <w:pPr>
              <w:ind w:firstLine="0" w:firstLineChars="0"/>
              <w:jc w:val="center"/>
              <w:rPr>
                <w:rFonts w:ascii="仿宋_GB2312" w:cs="宋体"/>
                <w:color w:val="0C0C0C"/>
                <w:kern w:val="0"/>
                <w:sz w:val="24"/>
                <w:szCs w:val="24"/>
              </w:rPr>
            </w:pPr>
            <w:r>
              <w:rPr>
                <w:rFonts w:hint="eastAsia" w:ascii="仿宋_GB2312" w:cs="宋体"/>
                <w:color w:val="0C0C0C"/>
                <w:kern w:val="0"/>
                <w:sz w:val="24"/>
                <w:szCs w:val="24"/>
              </w:rPr>
              <w:t>参公</w:t>
            </w:r>
          </w:p>
        </w:tc>
        <w:tc>
          <w:tcPr>
            <w:tcW w:w="1417" w:type="dxa"/>
            <w:noWrap w:val="0"/>
            <w:vAlign w:val="center"/>
          </w:tcPr>
          <w:p>
            <w:pPr>
              <w:ind w:firstLine="0" w:firstLineChars="0"/>
              <w:rPr>
                <w:rFonts w:ascii="仿宋_GB2312" w:cs="宋体"/>
                <w:kern w:val="0"/>
                <w:sz w:val="24"/>
                <w:szCs w:val="24"/>
              </w:rPr>
            </w:pPr>
            <w:r>
              <w:rPr>
                <w:rFonts w:hint="eastAsia" w:ascii="仿宋_GB2312" w:cs="宋体"/>
                <w:kern w:val="0"/>
                <w:sz w:val="24"/>
                <w:szCs w:val="24"/>
              </w:rPr>
              <w:t>专科及以上</w:t>
            </w:r>
          </w:p>
        </w:tc>
        <w:tc>
          <w:tcPr>
            <w:tcW w:w="3098" w:type="dxa"/>
            <w:noWrap w:val="0"/>
            <w:vAlign w:val="center"/>
          </w:tcPr>
          <w:p>
            <w:pPr>
              <w:widowControl/>
              <w:spacing w:line="240" w:lineRule="auto"/>
              <w:ind w:firstLine="0" w:firstLineChars="0"/>
              <w:jc w:val="left"/>
              <w:rPr>
                <w:rFonts w:ascii="仿宋_GB2312" w:cs="宋体"/>
                <w:kern w:val="0"/>
                <w:sz w:val="24"/>
                <w:szCs w:val="24"/>
              </w:rPr>
            </w:pPr>
            <w:r>
              <w:rPr>
                <w:rFonts w:hint="eastAsia" w:ascii="仿宋_GB2312" w:cs="宋体"/>
                <w:kern w:val="0"/>
                <w:sz w:val="24"/>
                <w:szCs w:val="24"/>
              </w:rPr>
              <w:t>专业</w:t>
            </w:r>
            <w:r>
              <w:rPr>
                <w:rFonts w:ascii="仿宋_GB2312" w:cs="宋体"/>
                <w:kern w:val="0"/>
                <w:sz w:val="24"/>
                <w:szCs w:val="24"/>
              </w:rPr>
              <w:t>不限。</w:t>
            </w:r>
            <w:r>
              <w:rPr>
                <w:rFonts w:hint="eastAsia" w:ascii="仿宋_GB2312" w:cs="宋体"/>
                <w:kern w:val="0"/>
                <w:sz w:val="24"/>
                <w:szCs w:val="24"/>
              </w:rPr>
              <w:t>计算机科学与技术专业、汉语言文学专业、秘书学专业、医药学专业优先。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909E0"/>
    <w:rsid w:val="38490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36" w:lineRule="auto"/>
      <w:ind w:firstLine="200" w:firstLineChars="200"/>
      <w:jc w:val="both"/>
    </w:pPr>
    <w:rPr>
      <w:rFonts w:ascii="宋体" w:hAnsi="宋体" w:eastAsia="仿宋_GB2312"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jc w:val="left"/>
    </w:pPr>
    <w:rPr>
      <w:kern w:val="0"/>
      <w:sz w:val="18"/>
      <w:szCs w:val="18"/>
    </w:rPr>
  </w:style>
  <w:style w:type="paragraph" w:styleId="3">
    <w:name w:val="header"/>
    <w:basedOn w:val="1"/>
    <w:unhideWhenUsed/>
    <w:uiPriority w:val="99"/>
    <w:pPr>
      <w:pBdr>
        <w:bottom w:val="single" w:color="auto" w:sz="6" w:space="1"/>
      </w:pBdr>
      <w:tabs>
        <w:tab w:val="center" w:pos="4153"/>
        <w:tab w:val="right" w:pos="8306"/>
      </w:tabs>
      <w:snapToGrid w:val="0"/>
      <w:spacing w:line="240" w:lineRule="auto"/>
      <w:jc w:val="center"/>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2019-12-11T01:39:00Z</dcterms:created>
  <dc:creator>qzuser</dc:creator>
  <cp:lastModifiedBy>qzuser</cp:lastModifiedBy>
  <dcterms:modified xsi:type="dcterms:W3CDTF">2019-12-11T01:39:26Z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